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B32" w:rsidRDefault="00F86B32" w:rsidP="00716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KRETINGOS LOPŠELIO-DARŽELIO „</w:t>
      </w:r>
      <w:r w:rsidR="00716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ŽILVITIS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“</w:t>
      </w:r>
      <w:r w:rsidRPr="00F86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DOVANŲ, GAUTŲ PAGAL</w:t>
      </w:r>
      <w:r w:rsidRPr="00F86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br/>
        <w:t>TARPTAUTINĮ PROTOKOLĄ AR TRADICIJAS, TAIP PAT REPREZENTACIJAI SKIRTŲ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F86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DOVANŲ PERDAVIMO, VERTINIMO, REGISTRAVIMO, SAUGOJIMO IR</w:t>
      </w:r>
      <w:r w:rsidRPr="00F86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br/>
        <w:t>EKSPONAVIMO TVARKOS APRAŠAS</w:t>
      </w:r>
    </w:p>
    <w:p w:rsidR="00F86B32" w:rsidRDefault="00F86B32" w:rsidP="00F86B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F86B32" w:rsidRDefault="00F86B32" w:rsidP="00F86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F86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 SKYRIUS</w:t>
      </w:r>
      <w:r w:rsidRPr="00F86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br/>
        <w:t>BENDROSIOS NUOSTATOS</w:t>
      </w:r>
    </w:p>
    <w:p w:rsidR="00F86B32" w:rsidRDefault="00F86B32" w:rsidP="00F86B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F86B32" w:rsidRDefault="00F86B32" w:rsidP="00F86B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Kretingos lopšelio-darželio „</w:t>
      </w:r>
      <w:r w:rsidR="00716BB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Žilvitis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“</w:t>
      </w: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(toliau - Įstaiga) dovanų, gautų pagal tarptautinį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protokolą ar tradicijas, taip pat reprezentacijai skirtų dovanų perdavimo, vertinimo, registravimo,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saugojimo ir eksponavimo tvarkos aprašas (toliau - Tvarkos aprašas) nustato dovanų, gautų pagal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tarptautinį protokolą ar tradicijas, kurios įprastai yra susijusios su valstybinėje tarnyboje dirbančio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asmens pareigomis, taip pat reprezentacijai skirtų dovanų su valstybės, įstaigos ir kitokia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simbolika, kurias gali gauti deklaruojantys asmenys, kaip jie apibrėžti Lietuvos Respublikos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viešųjų ir privačių interesų derinimo įstatyme (toliau - Darbuotojai), perdavimo, vertinimo,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registravimo, apskaitos, saugojimo ir eksponavimo tvarką. Asmeninės ir kitos dovanos, kurios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gaunamos ne pagal Lietuvos Respublikos viešųjų ir privačių interesų derinimo įstatymo 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straipsnio 2 dalies nuostatas, nepatenka į šio Tvarkos aprašo reguliavimo sritį.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F86B32" w:rsidRDefault="00F86B32" w:rsidP="00F86B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2. </w:t>
      </w: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Dovanos suprantamos taip, kaip jų samprata pateikiama Vyriausiosios tarnybinės etikos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komisijos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Rekomendacinėse gairėse dėl dovanų ir paslaugų priėmimo apribojimų</w:t>
      </w:r>
      <w:r>
        <w:rPr>
          <w:rStyle w:val="Puslapioinaosnuoroda"/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footnoteReference w:id="1"/>
      </w: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F86B32" w:rsidRDefault="00F86B32" w:rsidP="003875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3. Pagal šį Tvarkos aprašą registruotinos dovanos yra tik tos, kurias Darbuotojai gauna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pagal tarptautinį protokolą ar tradicijas, kurios įprastai yra susijusios su valstybinėje tarnyboje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dirbančio asmens tarnybine padėtimi ar tarnybinėmis pareigomis, taip pat reprezentacijai skirtos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dovanos, kurių vertė yra didesnė nei 150 eurų.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3875F6" w:rsidRDefault="00F86B32" w:rsidP="003875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4.</w:t>
      </w: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Tvarkos aprašas parengtas vadovaujantis Lietuvos Respublikos viešųjų ir privačių</w:t>
      </w:r>
      <w:r w:rsidR="003875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interesų derinimo įstatymu, Lietuvos Respublikos valstybės ir savivaldybių turto valdymo,</w:t>
      </w:r>
      <w:r w:rsidR="003875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naudojimo ir disponavimo juo įstatymu, kitais teisės aktais, reglamentuojančiais turto apskaitą,</w:t>
      </w:r>
      <w:r w:rsidR="003875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nurašymą, saugojimą, vertės nustatymą ir Vyriausiosios tarnybinės etikos komisijos</w:t>
      </w:r>
      <w:r w:rsidR="003875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Rekomendacinėmis gairėmis dėl dovanų ir paslaugų priėmimo apribojimų.</w:t>
      </w:r>
      <w:r w:rsidR="003875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3875F6" w:rsidRDefault="003875F6" w:rsidP="003875F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3875F6" w:rsidRDefault="00F86B32" w:rsidP="003875F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F86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II SKYRIUS</w:t>
      </w:r>
      <w:r w:rsidRPr="00F86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br/>
        <w:t>DOVANŲ PERDAVIMAS ĮSTAIGAI</w:t>
      </w:r>
    </w:p>
    <w:p w:rsidR="003875F6" w:rsidRDefault="003875F6" w:rsidP="00F86B32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3875F6" w:rsidRDefault="00F86B32" w:rsidP="003875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5. Darbuotojas, gavęs dovaną ir manydamas, kad jos vertė gali viršyti 150 eurų,</w:t>
      </w:r>
      <w:r w:rsidR="003875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n</w:t>
      </w: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edelsdamas, bet ne vėliau kaip per 5 darbo dienas nuo jos gavimo dienos informuoja (el. paštu ar</w:t>
      </w:r>
      <w:r w:rsidR="003875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kitu Įstaigos pasirinktu būdu) už korupcijos prevenciją Įstaigoje atsakingą asmenį (atitikties</w:t>
      </w:r>
      <w:r w:rsidR="003875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pareigūną) ir jam perduoda šią dovaną. Jeigu Darbuotojas gautos dovanos, kurios vertė galimai viršija</w:t>
      </w:r>
      <w:r w:rsidR="003875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150 eurų, neturi galimybių perduoti per nustatytą terminą dėl komandiruotės, ligos, atostogų ar kito</w:t>
      </w:r>
      <w:r w:rsidR="003875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laikino nebuvimo darbe atvejo, jis apie gautą dovaną informuoja už korupcijos prevenciją atsakingą</w:t>
      </w:r>
      <w:r w:rsidR="003875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asmenį (atitikties pareigūną) ir perduoda jam dovaną per 5 darbo dienas nuo komandiruotės, ligos,</w:t>
      </w:r>
      <w:r w:rsidR="003875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atostogų ar kito laikino nebuvimo darbe pabaigos.</w:t>
      </w:r>
    </w:p>
    <w:p w:rsidR="003875F6" w:rsidRDefault="00F86B32" w:rsidP="003875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6. Pagal šį Tvarkos aprašą tai, kas perduodama Darbuotojui, kai tai susiję su jo tarnybine</w:t>
      </w:r>
      <w:r w:rsidR="003875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padėtimi ar tarnybinėmis pareigomis bei neatitinka Lietuvos Respublikos viešųjų ir privačių interesų</w:t>
      </w:r>
      <w:r w:rsidR="003875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derinimo įstatymo 13 straipsnio 2 dalies nuostatų, yra neteisėtas atlygis. Jeigu Darbuotojui norima</w:t>
      </w:r>
      <w:r w:rsidR="003875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įteikti neteisėtą atlygį, turi būti atsisakoma jį priimti. Apie tokius atvejus Darbuotojas privalo</w:t>
      </w:r>
      <w:r w:rsidR="005977B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lastRenderedPageBreak/>
        <w:t>informuoti už korupcijos prevenciją Įstaigoje atsakingą asmenį (atitikties pareigūną) šio Tvarkos</w:t>
      </w:r>
      <w:r w:rsidR="003875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aprašo 4 punkte nustatyta tvarka</w:t>
      </w:r>
      <w:r w:rsidR="003875F6">
        <w:rPr>
          <w:rStyle w:val="Puslapioinaosnuoroda"/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footnoteReference w:id="2"/>
      </w: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3875F6" w:rsidRDefault="003875F6" w:rsidP="003875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3875F6" w:rsidRDefault="00F86B32" w:rsidP="003875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F86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III</w:t>
      </w:r>
      <w:r w:rsidR="003D5D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.</w:t>
      </w:r>
      <w:bookmarkStart w:id="0" w:name="_GoBack"/>
      <w:bookmarkEnd w:id="0"/>
      <w:r w:rsidRPr="00F86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SKYRIUS</w:t>
      </w:r>
      <w:r w:rsidR="003875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F86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DOVANŲ ĮVERTINIMAS, REGISTRAVIMAS IR APSKAITA</w:t>
      </w:r>
      <w:r w:rsidR="003875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</w:p>
    <w:p w:rsidR="003875F6" w:rsidRDefault="003875F6" w:rsidP="003875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3875F6" w:rsidRDefault="00F86B32" w:rsidP="003875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7. Už korupcijos prevenciją Įstaigoje atsakingas asmuo</w:t>
      </w:r>
      <w:r w:rsidR="003D5DF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</w:t>
      </w: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iš</w:t>
      </w:r>
      <w:r w:rsidR="003875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Darbuotojo gavęs informaciją apie jo gautą dovaną, inicijuoja dovanos vertinimą, kurį jis atlieka</w:t>
      </w:r>
      <w:r w:rsidR="003875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kartu su atsakingais darbuotojais</w:t>
      </w:r>
      <w:r w:rsidR="002C3258">
        <w:rPr>
          <w:rStyle w:val="Puslapioinaosnuoroda"/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footnoteReference w:id="3"/>
      </w:r>
      <w:r w:rsidR="003875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3875F6" w:rsidRDefault="00F86B32" w:rsidP="003875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8. Dovanos vertė nustatoma vadovaujantis šiuose teisės aktuose nurodytais vertinimo</w:t>
      </w:r>
      <w:r w:rsidR="003875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kriterijais:</w:t>
      </w:r>
    </w:p>
    <w:p w:rsidR="003875F6" w:rsidRDefault="00F86B32" w:rsidP="003875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8.1. Lietuvos Respublikos turto ir verslo vertinimo pagrindų įstatymas;</w:t>
      </w:r>
      <w:r w:rsidR="003875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3875F6" w:rsidRDefault="00F86B32" w:rsidP="003875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8.2. Turto ir verslo vertinimo metodika, patvirtinta Lietuvos Respublikos finansų</w:t>
      </w:r>
      <w:r w:rsidR="003875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ministro 2012 m. balandžio 27 d. įsakymu Nr. 1K-159 „Dėl Turto ir verslo vertinimo metodikos</w:t>
      </w:r>
      <w:r w:rsidR="003875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patvirtinimo".</w:t>
      </w:r>
    </w:p>
    <w:p w:rsidR="003875F6" w:rsidRDefault="00F86B32" w:rsidP="003875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9. Dovanos vertės nustatymas gali būti atliekamas atsižvelgiant į tapačių daiktų ar jų</w:t>
      </w:r>
      <w:r w:rsidR="003875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atitikmenų rinkos vertę pagal elektroninėje erdvėje ar kituose informacijos šaltiniuose esančius</w:t>
      </w:r>
      <w:r w:rsidR="003875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duomenis ar vadovaujantis kita informacija.</w:t>
      </w:r>
      <w:r w:rsidR="003875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3875F6" w:rsidRDefault="00F86B32" w:rsidP="003875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10. Sprendimas dėl dovanos vertinimo priimamas bendru sutarimu (esant specialiai</w:t>
      </w:r>
      <w:r w:rsidR="003875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komisijai - vertinimo metu dalyvavusių asmenų balsų dauguma).</w:t>
      </w:r>
      <w:r w:rsidR="003875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3875F6" w:rsidRPr="00716BBB" w:rsidRDefault="00F86B32" w:rsidP="003875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11. Šio Tvarkos aprašo 7 punkte nurodytiems subjektams nustačius dovanos vertę,</w:t>
      </w:r>
      <w:r w:rsidR="003875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dovana yra užregistruojama: už korupcijos prevenciją Įstaigoje atsakingas asmuo ar kitas paskirtas asmuo užpildo Dovanos vertinimo aktą (1 priedas)</w:t>
      </w:r>
      <w:r w:rsidR="00716BB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r w:rsidRPr="00716BBB">
        <w:rPr>
          <w:rFonts w:ascii="Times New Roman" w:eastAsia="Times New Roman" w:hAnsi="Times New Roman" w:cs="Times New Roman"/>
          <w:sz w:val="24"/>
          <w:szCs w:val="24"/>
          <w:lang w:eastAsia="lt-LT"/>
        </w:rPr>
        <w:t>Visi asmenys, dalyvavę vertinant dovaną, pasirašo ar kitaip</w:t>
      </w:r>
      <w:r w:rsidR="003875F6" w:rsidRPr="00716BB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716BBB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patvirtina Dovanos vertinimo aktą.</w:t>
      </w:r>
      <w:r w:rsidR="003875F6" w:rsidRPr="00716BB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716BBB" w:rsidRDefault="00F86B32" w:rsidP="003875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</w:pP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12. Jeigu dovanos vertė yra akivaizdi, ją galima nustatyti iš tiesiogiai nurodytos kainos</w:t>
      </w:r>
      <w:r w:rsidR="003875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(pavyzdžiui, kainos žymos, priklijuotos etiketės ar pan.), tokiu atveju dovanos vertinimas</w:t>
      </w:r>
      <w:r w:rsidR="003875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neatliekamas, o už korupcijos prevenciją Įstaigoje atsakingas asmuo,</w:t>
      </w:r>
      <w:r w:rsidR="003875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sudaryd</w:t>
      </w:r>
      <w:r w:rsidRPr="00716BBB">
        <w:rPr>
          <w:rFonts w:ascii="Times New Roman" w:eastAsia="Times New Roman" w:hAnsi="Times New Roman" w:cs="Times New Roman"/>
          <w:sz w:val="24"/>
          <w:szCs w:val="24"/>
          <w:lang w:eastAsia="lt-LT"/>
        </w:rPr>
        <w:t>amas Dovanos vertinimo aktą, pastabose pažymi, kokiu būdu buvo nustatyta vertė</w:t>
      </w:r>
      <w:r w:rsidR="00716BBB" w:rsidRPr="00716BBB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3875F6" w:rsidRDefault="00F86B32" w:rsidP="003875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13. Kiekviena dovana vertinama eiliškumo tvarka individualiai. Kai Dovaną sudaro</w:t>
      </w:r>
      <w:r w:rsidR="003875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keletas skirtingų daiktų, jų vertė yra sumuojama ir į Dovanos vertinimo aktą įrašoma bendra</w:t>
      </w:r>
      <w:r w:rsidR="003875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Dovanos vertė vienu registracijos numeriu.</w:t>
      </w:r>
      <w:r w:rsidR="003875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2C3258" w:rsidRDefault="00F86B32" w:rsidP="003875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14. Jeigu vertinimo metu nustatoma, kad dovanos vertė neviršija 150 eurų, tokia dovana į</w:t>
      </w:r>
      <w:r w:rsidR="003875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apskaitą netraukiama. Atsižvelgdama į šio Tvarkos aprašo 5 punktą, Įstaiga gali pasirinkti vieną ar</w:t>
      </w:r>
      <w:r w:rsidR="003875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kelis į apskaitą neįtrauktos dovanos naudojimo variantus:</w:t>
      </w:r>
      <w:r w:rsidR="003875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2C3258" w:rsidRDefault="00F86B32" w:rsidP="003875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14.1. Dovana grąžinama dovaną gavusiam Darbuotojui ir ji tampa jo nuosavybe.</w:t>
      </w:r>
      <w:r w:rsidR="003875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Darbuotojas gali su dovana elgtis taip, kaip jam atrodo priimtina. Darbuotojo pageidavimu dovana</w:t>
      </w:r>
      <w:r w:rsidR="003875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gali būti užregistruojama ir perduodama Įstaigai (naudoti, eksponuoti ir pan.).</w:t>
      </w:r>
      <w:r w:rsidR="003875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2C3258" w:rsidRDefault="00F86B32" w:rsidP="003875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14.2.Dovana (išskyrus vardines dovanas) lieka Įstaigoje ir, jeigu yra galimybė, naudojama</w:t>
      </w:r>
      <w:r w:rsidR="002C325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darbo reikmėms.</w:t>
      </w:r>
      <w:r w:rsidR="003875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2C3258" w:rsidRDefault="00F86B32" w:rsidP="003875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14.3.</w:t>
      </w:r>
      <w:r w:rsidR="00716BB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Gauta dovana atiduodama labdarai.</w:t>
      </w:r>
      <w:r w:rsidR="003875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2C3258" w:rsidRDefault="00F86B32" w:rsidP="003875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15. Už korupcijos prevenciją Įstaigoje atsakingas asmuo</w:t>
      </w:r>
      <w:r w:rsidR="00716BB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gali</w:t>
      </w:r>
      <w:r w:rsidR="003875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pareikalauti Darbuotojo pateikti dovaną vertinti, jeigu kyla įtarimų, kad jos vertė didesnė nei 150</w:t>
      </w:r>
      <w:r w:rsidR="003875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eurų, arba gauta daugiau dovanų, nei pateikta vertinti, ir pan.</w:t>
      </w:r>
      <w:r w:rsidR="002C325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2C3258" w:rsidRDefault="00F86B32" w:rsidP="003875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16. Dovana, kurios vertė didesnė nei 150 eurų, yra laikoma valstybės ar savivaldybės</w:t>
      </w:r>
      <w:r w:rsidR="003875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nuosavybe. Tokią dovaną už korupcijos prevenciją Įstaigoje atsakingas asmuo, vadovaudamasis </w:t>
      </w:r>
      <w:r w:rsidRPr="000E59A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Įstaigos vidaus teisės aktu dėl materialiojo turto priėmimo, apskaitymo,</w:t>
      </w:r>
      <w:r w:rsidR="003875F6" w:rsidRPr="000E59A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0E59A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išdavimo ir įforminimo</w:t>
      </w:r>
      <w:r w:rsidRPr="00F86B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 xml:space="preserve">, </w:t>
      </w: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perduoda Įstaigos darbuotojui, materialiai atsakingam už Įstaigos ilgalaikį</w:t>
      </w:r>
      <w:r w:rsidR="003875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ir trumpalaikį materialųjį turtą bei jo apskaitos tvarkymą ir kontrolę (toliau - materialiai atsakingas</w:t>
      </w:r>
      <w:r w:rsidR="003875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asmuo).</w:t>
      </w:r>
      <w:r w:rsidR="003875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2C3258" w:rsidRDefault="00F86B32" w:rsidP="003875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17. Kai dovanos vertė viršija 150 eurų:</w:t>
      </w:r>
      <w:r w:rsidR="003875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2C3258" w:rsidRDefault="00F86B32" w:rsidP="003875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lastRenderedPageBreak/>
        <w:t>17.1.</w:t>
      </w:r>
      <w:r w:rsidR="00716BB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ji įtraukiama į Įstaigos apskaitą, vadovaujantis Viešojo sektoriaus apskaitos ir</w:t>
      </w:r>
      <w:r w:rsidR="003875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finansinės atskaitomybės standartais;</w:t>
      </w:r>
      <w:r w:rsidR="003875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2C3258" w:rsidRDefault="00F86B32" w:rsidP="003875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17.2. gali būti nurašoma turto apskaitą reglamentuojančių teisės aktų nustatyta tvarka ir</w:t>
      </w:r>
      <w:r w:rsidR="003875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tais atvejais, kai ji yra sunaikinta, nepataisomai sugadinta dėl stichinės nelaimės, gaisro ar kitų</w:t>
      </w:r>
      <w:r w:rsidR="003875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priežasčių arba pagrobta ar kitaip neteisėtai pasisavinta;</w:t>
      </w:r>
      <w:r w:rsidR="003875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2C3258" w:rsidRDefault="00F86B32" w:rsidP="003875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17.3. ir ji yra gendantis, suvartojamas produktas, sprendimą dėl naudojimo priima Įstaigos</w:t>
      </w:r>
      <w:r w:rsidR="003875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vadovas ar jo įgaliotas asmuo.</w:t>
      </w:r>
      <w:r w:rsidR="003875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2C3258" w:rsidRDefault="00F86B32" w:rsidP="003875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18. Dovanos nepataisomo sugadinimo ar sunaikinimo faktas nustatomas Tvarkos aprašo</w:t>
      </w:r>
      <w:r w:rsidR="003875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7 punkte nurodytų subjektų sprendimu.</w:t>
      </w:r>
      <w:r w:rsidR="003875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2C3258" w:rsidRDefault="00F86B32" w:rsidP="003875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19. Kiti dovanos, kurios vertė viršija 150 eurų, apskaitos ir saugojimo klausimai</w:t>
      </w:r>
      <w:r w:rsidR="003875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sprendžiami vadovaujantis bendraisiais materialinių vertybių apskaitą ir saugojimą</w:t>
      </w:r>
      <w:r w:rsidR="003875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reglamentuojančiais teisės aktais.</w:t>
      </w:r>
      <w:r w:rsidR="003875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2C3258" w:rsidRDefault="00F86B32" w:rsidP="003875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20. Informacija apie Įstaigoje užregistruotas dovanas skelbiama viešai Įstaigos interneto</w:t>
      </w:r>
      <w:r w:rsidR="003875F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svetainėje</w:t>
      </w:r>
      <w:r w:rsidR="002C3258">
        <w:rPr>
          <w:rStyle w:val="Puslapioinaosnuoroda"/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footnoteReference w:id="4"/>
      </w: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 w:rsidR="003875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716BBB" w:rsidRDefault="00716BBB" w:rsidP="003875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2C3258" w:rsidRDefault="00F86B32" w:rsidP="002C3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F86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IV SKYRIUS</w:t>
      </w:r>
      <w:r w:rsidR="003875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F86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DOVANŲ EKSPONAVIMAS IR PRIEŽIŪRA</w:t>
      </w:r>
    </w:p>
    <w:p w:rsidR="002C3258" w:rsidRDefault="002C3258" w:rsidP="003875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2C3258" w:rsidRDefault="00F86B32" w:rsidP="003875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21. Dovana, kurios vertė viršija 150 eurų:</w:t>
      </w:r>
      <w:r w:rsidR="003875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2C3258" w:rsidRDefault="00F86B32" w:rsidP="003875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21.1. naudojama bendroms Įstaigos reikmėms, jei tai atitinka dovanos paskirtį, ir tai</w:t>
      </w:r>
      <w:r w:rsidR="003875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pažymima Dovanos vertinimo akto pastabų skiltyje;</w:t>
      </w:r>
      <w:r w:rsidR="003875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2C3258" w:rsidRDefault="00F86B32" w:rsidP="003875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21.2. gali būti eksponuojama Įstaigoje;</w:t>
      </w:r>
      <w:r w:rsidR="003875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2C3258" w:rsidRDefault="00F86B32" w:rsidP="003875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21.3 eksponuojant laikoma visiems Įstaigos darbuotojams laisvai prieinamoje ir matomoje</w:t>
      </w:r>
      <w:r w:rsidR="003875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vietoje.</w:t>
      </w:r>
      <w:r w:rsidR="003875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2C3258" w:rsidRDefault="00F86B32" w:rsidP="003875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22. Su dovanų eksponavimu ir priežiūra susijusius klausimus sprendžia Įstaigos materialiai</w:t>
      </w:r>
      <w:r w:rsidR="003875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atsakingas asmuo.</w:t>
      </w:r>
      <w:r w:rsidR="003875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2C3258" w:rsidRDefault="002C3258" w:rsidP="003875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2C3258" w:rsidRDefault="00F86B32" w:rsidP="002C3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F86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V SKYRIUS</w:t>
      </w:r>
      <w:r w:rsidR="003875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F86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BAIGIAMOSIOS NUOSTATOS</w:t>
      </w:r>
    </w:p>
    <w:p w:rsidR="002C3258" w:rsidRDefault="002C3258" w:rsidP="002C3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2C3258" w:rsidRDefault="00F86B32" w:rsidP="003875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23. Su Tvarkos aprašu visi Įstaigos darbuotojai supažindinami pasirašytinai Įstaigos</w:t>
      </w:r>
      <w:r w:rsidR="003875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pasirinktu būdu.</w:t>
      </w:r>
      <w:r w:rsidR="003875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3875F6" w:rsidRDefault="00F86B32" w:rsidP="003875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24. Asmenys, pažeidę šio Tvarkos aprašo reikalavimus, atsako teisės aktų nustatyta</w:t>
      </w:r>
      <w:r w:rsidR="003875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F86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tvarka.</w:t>
      </w:r>
    </w:p>
    <w:p w:rsidR="00642DF5" w:rsidRDefault="00642DF5">
      <w:pPr>
        <w:rPr>
          <w:rFonts w:ascii="Times New Roman" w:hAnsi="Times New Roman" w:cs="Times New Roman"/>
          <w:sz w:val="24"/>
          <w:szCs w:val="24"/>
        </w:rPr>
      </w:pPr>
    </w:p>
    <w:p w:rsidR="000E59A4" w:rsidRDefault="000E59A4" w:rsidP="002C3258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0E59A4" w:rsidRDefault="000E59A4" w:rsidP="002C3258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0E59A4" w:rsidRDefault="000E59A4" w:rsidP="002C3258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0E59A4" w:rsidRDefault="000E59A4" w:rsidP="002C3258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0E59A4" w:rsidRDefault="000E59A4" w:rsidP="002C3258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0E59A4" w:rsidRDefault="000E59A4" w:rsidP="002C3258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0E59A4" w:rsidRDefault="000E59A4" w:rsidP="002C3258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0E59A4" w:rsidRDefault="000E59A4" w:rsidP="002C3258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0E59A4" w:rsidRDefault="000E59A4" w:rsidP="002C3258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0E59A4" w:rsidRDefault="000E59A4" w:rsidP="002C3258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0E59A4" w:rsidRDefault="000E59A4" w:rsidP="002C3258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0E59A4" w:rsidRDefault="000E59A4" w:rsidP="002C3258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0E59A4" w:rsidRDefault="000E59A4" w:rsidP="002C3258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0E59A4" w:rsidRDefault="000E59A4" w:rsidP="002C3258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0E59A4" w:rsidRDefault="000E59A4" w:rsidP="002C3258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2C3258" w:rsidRPr="002C3258" w:rsidRDefault="002C3258" w:rsidP="002C3258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Kretingos lopšelio-darželio „</w:t>
      </w:r>
      <w:r w:rsidR="000E59A4">
        <w:rPr>
          <w:rFonts w:ascii="Times New Roman" w:hAnsi="Times New Roman" w:cs="Times New Roman"/>
          <w:sz w:val="24"/>
          <w:szCs w:val="24"/>
        </w:rPr>
        <w:t>Žilvitis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2C3258" w:rsidRPr="002C3258" w:rsidRDefault="002C3258" w:rsidP="002C3258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2C3258">
        <w:rPr>
          <w:rFonts w:ascii="Times New Roman" w:hAnsi="Times New Roman" w:cs="Times New Roman"/>
          <w:sz w:val="24"/>
          <w:szCs w:val="24"/>
        </w:rPr>
        <w:t>dovanų, gautų pagal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258" w:rsidRPr="002C3258" w:rsidRDefault="002C3258" w:rsidP="002C3258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2C3258">
        <w:rPr>
          <w:rFonts w:ascii="Times New Roman" w:hAnsi="Times New Roman" w:cs="Times New Roman"/>
          <w:sz w:val="24"/>
          <w:szCs w:val="24"/>
        </w:rPr>
        <w:t>tarptautinį protokolą ar tradicijas, taip</w:t>
      </w:r>
    </w:p>
    <w:p w:rsidR="002C3258" w:rsidRPr="002C3258" w:rsidRDefault="002C3258" w:rsidP="002C3258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2C3258">
        <w:rPr>
          <w:rFonts w:ascii="Times New Roman" w:hAnsi="Times New Roman" w:cs="Times New Roman"/>
          <w:sz w:val="24"/>
          <w:szCs w:val="24"/>
        </w:rPr>
        <w:t>pat reprezentacijai skirtų dovanų</w:t>
      </w:r>
    </w:p>
    <w:p w:rsidR="002C3258" w:rsidRPr="002C3258" w:rsidRDefault="002C3258" w:rsidP="002C3258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2C3258">
        <w:rPr>
          <w:rFonts w:ascii="Times New Roman" w:hAnsi="Times New Roman" w:cs="Times New Roman"/>
          <w:sz w:val="24"/>
          <w:szCs w:val="24"/>
        </w:rPr>
        <w:t>perdavimo, vertinimo, registravimo,</w:t>
      </w:r>
    </w:p>
    <w:p w:rsidR="002C3258" w:rsidRPr="002C3258" w:rsidRDefault="002C3258" w:rsidP="002C3258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2C3258">
        <w:rPr>
          <w:rFonts w:ascii="Times New Roman" w:hAnsi="Times New Roman" w:cs="Times New Roman"/>
          <w:sz w:val="24"/>
          <w:szCs w:val="24"/>
        </w:rPr>
        <w:t>saugojimo ir eksponavimo tvarkos</w:t>
      </w:r>
    </w:p>
    <w:p w:rsidR="002C3258" w:rsidRPr="002C3258" w:rsidRDefault="002C3258" w:rsidP="002C3258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2C3258">
        <w:rPr>
          <w:rFonts w:ascii="Times New Roman" w:hAnsi="Times New Roman" w:cs="Times New Roman"/>
          <w:sz w:val="24"/>
          <w:szCs w:val="24"/>
        </w:rPr>
        <w:t>aprašo</w:t>
      </w:r>
    </w:p>
    <w:p w:rsidR="002C3258" w:rsidRDefault="002C3258" w:rsidP="002C3258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2C3258">
        <w:rPr>
          <w:rFonts w:ascii="Times New Roman" w:hAnsi="Times New Roman" w:cs="Times New Roman"/>
          <w:sz w:val="24"/>
          <w:szCs w:val="24"/>
        </w:rPr>
        <w:t>1 priedas</w:t>
      </w:r>
    </w:p>
    <w:p w:rsidR="002C3258" w:rsidRPr="002C3258" w:rsidRDefault="002C3258" w:rsidP="002C3258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2C3258" w:rsidRPr="002C3258" w:rsidRDefault="002C3258" w:rsidP="002C3258">
      <w:pPr>
        <w:spacing w:after="0" w:line="240" w:lineRule="auto"/>
        <w:jc w:val="center"/>
        <w:rPr>
          <w:rStyle w:val="fontstyle01"/>
          <w:b w:val="0"/>
          <w:sz w:val="28"/>
          <w:szCs w:val="28"/>
        </w:rPr>
      </w:pPr>
      <w:r w:rsidRPr="002C3258">
        <w:rPr>
          <w:rStyle w:val="fontstyle01"/>
          <w:b w:val="0"/>
        </w:rPr>
        <w:t>(</w:t>
      </w:r>
      <w:r w:rsidRPr="002C3258">
        <w:rPr>
          <w:rStyle w:val="fontstyle01"/>
          <w:b w:val="0"/>
          <w:sz w:val="28"/>
          <w:szCs w:val="28"/>
        </w:rPr>
        <w:t>Dovanos vertinimo akto forma)</w:t>
      </w:r>
    </w:p>
    <w:p w:rsidR="002C3258" w:rsidRDefault="002C3258" w:rsidP="002C3258">
      <w:pPr>
        <w:spacing w:after="0" w:line="240" w:lineRule="auto"/>
        <w:jc w:val="center"/>
        <w:rPr>
          <w:rStyle w:val="fontstyle01"/>
          <w:sz w:val="28"/>
          <w:szCs w:val="28"/>
        </w:rPr>
      </w:pPr>
    </w:p>
    <w:p w:rsidR="002C3258" w:rsidRDefault="002C3258" w:rsidP="002C3258">
      <w:pPr>
        <w:spacing w:after="0" w:line="240" w:lineRule="auto"/>
        <w:jc w:val="center"/>
        <w:rPr>
          <w:rStyle w:val="fontstyle01"/>
          <w:sz w:val="28"/>
          <w:szCs w:val="28"/>
        </w:rPr>
      </w:pPr>
      <w:r w:rsidRPr="002C3258">
        <w:rPr>
          <w:rStyle w:val="fontstyle01"/>
          <w:sz w:val="28"/>
          <w:szCs w:val="28"/>
        </w:rPr>
        <w:t>DOVANOS VERTINIMO AKTAS</w:t>
      </w:r>
    </w:p>
    <w:p w:rsidR="002C3258" w:rsidRDefault="002C3258" w:rsidP="002C3258">
      <w:pPr>
        <w:spacing w:after="0" w:line="240" w:lineRule="auto"/>
        <w:jc w:val="center"/>
        <w:rPr>
          <w:rStyle w:val="fontstyle01"/>
          <w:sz w:val="28"/>
          <w:szCs w:val="28"/>
        </w:rPr>
      </w:pPr>
    </w:p>
    <w:p w:rsidR="002C3258" w:rsidRPr="002C3258" w:rsidRDefault="002C3258" w:rsidP="002C3258">
      <w:pPr>
        <w:spacing w:after="0" w:line="240" w:lineRule="auto"/>
        <w:jc w:val="center"/>
        <w:rPr>
          <w:rStyle w:val="fontstyle21"/>
          <w:szCs w:val="28"/>
        </w:rPr>
      </w:pPr>
      <w:r w:rsidRPr="002C3258">
        <w:rPr>
          <w:rStyle w:val="fontstyle21"/>
          <w:szCs w:val="28"/>
        </w:rPr>
        <w:t xml:space="preserve">20 </w:t>
      </w:r>
      <w:r w:rsidR="000E59A4">
        <w:rPr>
          <w:rStyle w:val="fontstyle21"/>
          <w:szCs w:val="28"/>
        </w:rPr>
        <w:t>_</w:t>
      </w:r>
      <w:r w:rsidRPr="002C3258">
        <w:rPr>
          <w:rStyle w:val="fontstyle21"/>
          <w:szCs w:val="28"/>
        </w:rPr>
        <w:t>_ m. ____________</w:t>
      </w:r>
      <w:r>
        <w:rPr>
          <w:rStyle w:val="fontstyle21"/>
          <w:szCs w:val="28"/>
        </w:rPr>
        <w:t>________</w:t>
      </w:r>
      <w:r w:rsidRPr="002C3258">
        <w:rPr>
          <w:rStyle w:val="fontstyle21"/>
          <w:szCs w:val="28"/>
        </w:rPr>
        <w:t xml:space="preserve"> d.</w:t>
      </w:r>
    </w:p>
    <w:p w:rsidR="002C3258" w:rsidRPr="002C3258" w:rsidRDefault="002C3258" w:rsidP="002C3258">
      <w:pPr>
        <w:spacing w:after="0" w:line="240" w:lineRule="auto"/>
        <w:jc w:val="center"/>
        <w:rPr>
          <w:rStyle w:val="fontstyle21"/>
          <w:szCs w:val="28"/>
        </w:rPr>
      </w:pPr>
      <w:r w:rsidRPr="002C3258">
        <w:rPr>
          <w:rStyle w:val="fontstyle21"/>
          <w:szCs w:val="28"/>
        </w:rPr>
        <w:t>(data)</w:t>
      </w:r>
    </w:p>
    <w:p w:rsidR="002C3258" w:rsidRDefault="002C3258" w:rsidP="002C3258">
      <w:pPr>
        <w:jc w:val="center"/>
      </w:pPr>
      <w:r>
        <w:rPr>
          <w:rFonts w:ascii="Times New Roman" w:hAnsi="Times New Roman" w:cs="Times New Roman"/>
          <w:szCs w:val="24"/>
        </w:rPr>
        <w:t>_______________________</w:t>
      </w:r>
    </w:p>
    <w:p w:rsidR="002C3258" w:rsidRDefault="002C3258" w:rsidP="002C325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(vieta)</w:t>
      </w:r>
    </w:p>
    <w:p w:rsidR="002C3258" w:rsidRDefault="002C3258" w:rsidP="002C325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27"/>
        <w:gridCol w:w="1384"/>
        <w:gridCol w:w="1239"/>
        <w:gridCol w:w="896"/>
        <w:gridCol w:w="945"/>
        <w:gridCol w:w="945"/>
        <w:gridCol w:w="1139"/>
        <w:gridCol w:w="815"/>
        <w:gridCol w:w="766"/>
        <w:gridCol w:w="972"/>
      </w:tblGrid>
      <w:tr w:rsidR="002C3258" w:rsidTr="002C3258">
        <w:tc>
          <w:tcPr>
            <w:tcW w:w="570" w:type="dxa"/>
            <w:vAlign w:val="center"/>
          </w:tcPr>
          <w:p w:rsidR="002C3258" w:rsidRPr="002C3258" w:rsidRDefault="002C3258" w:rsidP="002C325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C3258">
              <w:rPr>
                <w:rStyle w:val="fontstyle01"/>
                <w:sz w:val="20"/>
              </w:rPr>
              <w:t>Eil.</w:t>
            </w:r>
            <w:r w:rsidRPr="002C3258">
              <w:rPr>
                <w:b/>
                <w:sz w:val="20"/>
              </w:rPr>
              <w:t xml:space="preserve"> </w:t>
            </w:r>
            <w:r w:rsidRPr="002C3258">
              <w:rPr>
                <w:rStyle w:val="fontstyle01"/>
                <w:sz w:val="20"/>
              </w:rPr>
              <w:t>Nr.</w:t>
            </w:r>
          </w:p>
        </w:tc>
        <w:tc>
          <w:tcPr>
            <w:tcW w:w="1354" w:type="dxa"/>
            <w:vAlign w:val="center"/>
          </w:tcPr>
          <w:p w:rsidR="002C3258" w:rsidRPr="002C3258" w:rsidRDefault="002C3258" w:rsidP="002C325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C3258">
              <w:rPr>
                <w:rFonts w:ascii="Times New Roman" w:hAnsi="Times New Roman" w:cs="Times New Roman"/>
                <w:b/>
                <w:sz w:val="20"/>
                <w:szCs w:val="24"/>
              </w:rPr>
              <w:t>Dovanos</w:t>
            </w:r>
          </w:p>
          <w:p w:rsidR="002C3258" w:rsidRPr="002C3258" w:rsidRDefault="002C3258" w:rsidP="002C325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C3258">
              <w:rPr>
                <w:rFonts w:ascii="Times New Roman" w:hAnsi="Times New Roman" w:cs="Times New Roman"/>
                <w:b/>
                <w:sz w:val="20"/>
                <w:szCs w:val="24"/>
              </w:rPr>
              <w:t>pavadinimas</w:t>
            </w:r>
          </w:p>
          <w:p w:rsidR="002C3258" w:rsidRPr="002C3258" w:rsidRDefault="002C3258" w:rsidP="002C325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C3258">
              <w:rPr>
                <w:rFonts w:ascii="Times New Roman" w:hAnsi="Times New Roman" w:cs="Times New Roman"/>
                <w:b/>
                <w:sz w:val="20"/>
                <w:szCs w:val="24"/>
              </w:rPr>
              <w:t>ir</w:t>
            </w:r>
          </w:p>
          <w:p w:rsidR="002C3258" w:rsidRPr="002C3258" w:rsidRDefault="002C3258" w:rsidP="002C325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C3258">
              <w:rPr>
                <w:rFonts w:ascii="Times New Roman" w:hAnsi="Times New Roman" w:cs="Times New Roman"/>
                <w:b/>
                <w:sz w:val="20"/>
                <w:szCs w:val="24"/>
              </w:rPr>
              <w:t>apibūdinimas</w:t>
            </w:r>
          </w:p>
        </w:tc>
        <w:tc>
          <w:tcPr>
            <w:tcW w:w="963" w:type="dxa"/>
            <w:vAlign w:val="center"/>
          </w:tcPr>
          <w:p w:rsidR="002C3258" w:rsidRPr="002C3258" w:rsidRDefault="002C3258" w:rsidP="002C325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C3258">
              <w:rPr>
                <w:rFonts w:ascii="Times New Roman" w:hAnsi="Times New Roman" w:cs="Times New Roman"/>
                <w:b/>
                <w:sz w:val="20"/>
                <w:szCs w:val="24"/>
              </w:rPr>
              <w:t>Dovaną</w:t>
            </w:r>
          </w:p>
          <w:p w:rsidR="002C3258" w:rsidRPr="002C3258" w:rsidRDefault="002C3258" w:rsidP="002C325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C3258">
              <w:rPr>
                <w:rFonts w:ascii="Times New Roman" w:hAnsi="Times New Roman" w:cs="Times New Roman"/>
                <w:b/>
                <w:sz w:val="20"/>
                <w:szCs w:val="24"/>
              </w:rPr>
              <w:t>perdavusios</w:t>
            </w:r>
          </w:p>
          <w:p w:rsidR="002C3258" w:rsidRPr="002C3258" w:rsidRDefault="002C3258" w:rsidP="002C325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C3258">
              <w:rPr>
                <w:rFonts w:ascii="Times New Roman" w:hAnsi="Times New Roman" w:cs="Times New Roman"/>
                <w:b/>
                <w:sz w:val="20"/>
                <w:szCs w:val="24"/>
              </w:rPr>
              <w:t>įstaigos ar</w:t>
            </w:r>
          </w:p>
          <w:p w:rsidR="002C3258" w:rsidRPr="002C3258" w:rsidRDefault="002C3258" w:rsidP="002C325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C3258">
              <w:rPr>
                <w:rFonts w:ascii="Times New Roman" w:hAnsi="Times New Roman" w:cs="Times New Roman"/>
                <w:b/>
                <w:sz w:val="20"/>
                <w:szCs w:val="24"/>
              </w:rPr>
              <w:t>įmonės</w:t>
            </w:r>
          </w:p>
          <w:p w:rsidR="002C3258" w:rsidRPr="002C3258" w:rsidRDefault="002C3258" w:rsidP="002C325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C3258">
              <w:rPr>
                <w:rFonts w:ascii="Times New Roman" w:hAnsi="Times New Roman" w:cs="Times New Roman"/>
                <w:b/>
                <w:sz w:val="20"/>
                <w:szCs w:val="24"/>
              </w:rPr>
              <w:t>darbuotojo</w:t>
            </w:r>
          </w:p>
          <w:p w:rsidR="002C3258" w:rsidRPr="002C3258" w:rsidRDefault="002C3258" w:rsidP="002C325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C3258">
              <w:rPr>
                <w:rFonts w:ascii="Times New Roman" w:hAnsi="Times New Roman" w:cs="Times New Roman"/>
                <w:b/>
                <w:sz w:val="20"/>
                <w:szCs w:val="24"/>
              </w:rPr>
              <w:t>vardas ir pavardė</w:t>
            </w:r>
          </w:p>
        </w:tc>
        <w:tc>
          <w:tcPr>
            <w:tcW w:w="963" w:type="dxa"/>
            <w:vAlign w:val="center"/>
          </w:tcPr>
          <w:p w:rsidR="002C3258" w:rsidRPr="002C3258" w:rsidRDefault="002C3258" w:rsidP="002C325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C3258">
              <w:rPr>
                <w:rFonts w:ascii="Times New Roman" w:hAnsi="Times New Roman" w:cs="Times New Roman"/>
                <w:b/>
                <w:sz w:val="20"/>
                <w:szCs w:val="24"/>
              </w:rPr>
              <w:t>Dovaną</w:t>
            </w:r>
          </w:p>
          <w:p w:rsidR="002C3258" w:rsidRPr="002C3258" w:rsidRDefault="002C3258" w:rsidP="002C325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C3258">
              <w:rPr>
                <w:rFonts w:ascii="Times New Roman" w:hAnsi="Times New Roman" w:cs="Times New Roman"/>
                <w:b/>
                <w:sz w:val="20"/>
                <w:szCs w:val="24"/>
              </w:rPr>
              <w:t>gavęs</w:t>
            </w:r>
          </w:p>
          <w:p w:rsidR="002C3258" w:rsidRPr="002C3258" w:rsidRDefault="002C3258" w:rsidP="002C325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C3258">
              <w:rPr>
                <w:rFonts w:ascii="Times New Roman" w:hAnsi="Times New Roman" w:cs="Times New Roman"/>
                <w:b/>
                <w:sz w:val="20"/>
                <w:szCs w:val="24"/>
              </w:rPr>
              <w:t>asmuo</w:t>
            </w:r>
          </w:p>
        </w:tc>
        <w:tc>
          <w:tcPr>
            <w:tcW w:w="963" w:type="dxa"/>
            <w:vAlign w:val="center"/>
          </w:tcPr>
          <w:p w:rsidR="002C3258" w:rsidRPr="002C3258" w:rsidRDefault="002C3258" w:rsidP="002C325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C3258">
              <w:rPr>
                <w:rFonts w:ascii="Times New Roman" w:hAnsi="Times New Roman" w:cs="Times New Roman"/>
                <w:b/>
                <w:sz w:val="20"/>
                <w:szCs w:val="24"/>
              </w:rPr>
              <w:t>Įteikimo</w:t>
            </w:r>
          </w:p>
          <w:p w:rsidR="002C3258" w:rsidRPr="002C3258" w:rsidRDefault="002C3258" w:rsidP="002C325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C3258">
              <w:rPr>
                <w:rFonts w:ascii="Times New Roman" w:hAnsi="Times New Roman" w:cs="Times New Roman"/>
                <w:b/>
                <w:sz w:val="20"/>
                <w:szCs w:val="24"/>
              </w:rPr>
              <w:t>data</w:t>
            </w:r>
          </w:p>
        </w:tc>
        <w:tc>
          <w:tcPr>
            <w:tcW w:w="963" w:type="dxa"/>
            <w:vAlign w:val="center"/>
          </w:tcPr>
          <w:p w:rsidR="002C3258" w:rsidRPr="002C3258" w:rsidRDefault="002C3258" w:rsidP="002C325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C3258">
              <w:rPr>
                <w:rFonts w:ascii="Times New Roman" w:hAnsi="Times New Roman" w:cs="Times New Roman"/>
                <w:b/>
                <w:sz w:val="20"/>
                <w:szCs w:val="24"/>
              </w:rPr>
              <w:t>Įteikimo</w:t>
            </w:r>
          </w:p>
          <w:p w:rsidR="002C3258" w:rsidRPr="002C3258" w:rsidRDefault="002C3258" w:rsidP="002C325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C3258">
              <w:rPr>
                <w:rFonts w:ascii="Times New Roman" w:hAnsi="Times New Roman" w:cs="Times New Roman"/>
                <w:b/>
                <w:sz w:val="20"/>
                <w:szCs w:val="24"/>
              </w:rPr>
              <w:t>vieta</w:t>
            </w:r>
          </w:p>
        </w:tc>
        <w:tc>
          <w:tcPr>
            <w:tcW w:w="963" w:type="dxa"/>
            <w:vAlign w:val="center"/>
          </w:tcPr>
          <w:p w:rsidR="002C3258" w:rsidRPr="002C3258" w:rsidRDefault="002C3258" w:rsidP="002C325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C3258">
              <w:rPr>
                <w:rFonts w:ascii="Times New Roman" w:hAnsi="Times New Roman" w:cs="Times New Roman"/>
                <w:b/>
                <w:sz w:val="20"/>
                <w:szCs w:val="24"/>
              </w:rPr>
              <w:t>Įteikimo</w:t>
            </w:r>
          </w:p>
          <w:p w:rsidR="002C3258" w:rsidRPr="002C3258" w:rsidRDefault="002C3258" w:rsidP="002C325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C3258">
              <w:rPr>
                <w:rFonts w:ascii="Times New Roman" w:hAnsi="Times New Roman" w:cs="Times New Roman"/>
                <w:b/>
                <w:sz w:val="20"/>
                <w:szCs w:val="24"/>
              </w:rPr>
              <w:t>aplinkybės</w:t>
            </w:r>
          </w:p>
        </w:tc>
        <w:tc>
          <w:tcPr>
            <w:tcW w:w="963" w:type="dxa"/>
            <w:vAlign w:val="center"/>
          </w:tcPr>
          <w:p w:rsidR="002C3258" w:rsidRPr="002C3258" w:rsidRDefault="002C3258" w:rsidP="002C325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C3258">
              <w:rPr>
                <w:rFonts w:ascii="Times New Roman" w:hAnsi="Times New Roman" w:cs="Times New Roman"/>
                <w:b/>
                <w:sz w:val="20"/>
                <w:szCs w:val="24"/>
              </w:rPr>
              <w:t>Kiekis</w:t>
            </w:r>
          </w:p>
        </w:tc>
        <w:tc>
          <w:tcPr>
            <w:tcW w:w="963" w:type="dxa"/>
            <w:vAlign w:val="center"/>
          </w:tcPr>
          <w:p w:rsidR="002C3258" w:rsidRPr="002C3258" w:rsidRDefault="002C3258" w:rsidP="002C325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C3258">
              <w:rPr>
                <w:rFonts w:ascii="Times New Roman" w:hAnsi="Times New Roman" w:cs="Times New Roman"/>
                <w:b/>
                <w:sz w:val="20"/>
                <w:szCs w:val="24"/>
              </w:rPr>
              <w:t>Vertė</w:t>
            </w:r>
          </w:p>
        </w:tc>
        <w:tc>
          <w:tcPr>
            <w:tcW w:w="963" w:type="dxa"/>
            <w:vAlign w:val="center"/>
          </w:tcPr>
          <w:p w:rsidR="002C3258" w:rsidRPr="002C3258" w:rsidRDefault="002C3258" w:rsidP="002C325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C3258">
              <w:rPr>
                <w:rFonts w:ascii="Times New Roman" w:hAnsi="Times New Roman" w:cs="Times New Roman"/>
                <w:b/>
                <w:sz w:val="20"/>
                <w:szCs w:val="24"/>
              </w:rPr>
              <w:t>Pastabos</w:t>
            </w:r>
          </w:p>
        </w:tc>
      </w:tr>
      <w:tr w:rsidR="002C3258" w:rsidTr="002C3258">
        <w:tc>
          <w:tcPr>
            <w:tcW w:w="570" w:type="dxa"/>
          </w:tcPr>
          <w:p w:rsidR="002C3258" w:rsidRPr="002C3258" w:rsidRDefault="002C3258" w:rsidP="002C325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54" w:type="dxa"/>
          </w:tcPr>
          <w:p w:rsidR="002C3258" w:rsidRPr="002C3258" w:rsidRDefault="002C3258" w:rsidP="002C325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63" w:type="dxa"/>
          </w:tcPr>
          <w:p w:rsidR="002C3258" w:rsidRPr="002C3258" w:rsidRDefault="002C3258" w:rsidP="002C325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63" w:type="dxa"/>
          </w:tcPr>
          <w:p w:rsidR="002C3258" w:rsidRPr="002C3258" w:rsidRDefault="002C3258" w:rsidP="002C325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63" w:type="dxa"/>
          </w:tcPr>
          <w:p w:rsidR="002C3258" w:rsidRPr="002C3258" w:rsidRDefault="002C3258" w:rsidP="002C325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63" w:type="dxa"/>
          </w:tcPr>
          <w:p w:rsidR="002C3258" w:rsidRPr="002C3258" w:rsidRDefault="002C3258" w:rsidP="002C325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63" w:type="dxa"/>
          </w:tcPr>
          <w:p w:rsidR="002C3258" w:rsidRPr="002C3258" w:rsidRDefault="002C3258" w:rsidP="002C325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63" w:type="dxa"/>
          </w:tcPr>
          <w:p w:rsidR="002C3258" w:rsidRPr="002C3258" w:rsidRDefault="002C3258" w:rsidP="002C325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63" w:type="dxa"/>
          </w:tcPr>
          <w:p w:rsidR="002C3258" w:rsidRPr="002C3258" w:rsidRDefault="002C3258" w:rsidP="002C325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63" w:type="dxa"/>
          </w:tcPr>
          <w:p w:rsidR="002C3258" w:rsidRPr="002C3258" w:rsidRDefault="002C3258" w:rsidP="002C325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C3258" w:rsidTr="002C3258">
        <w:tc>
          <w:tcPr>
            <w:tcW w:w="570" w:type="dxa"/>
          </w:tcPr>
          <w:p w:rsidR="002C3258" w:rsidRPr="002C3258" w:rsidRDefault="002C3258" w:rsidP="002C325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54" w:type="dxa"/>
          </w:tcPr>
          <w:p w:rsidR="002C3258" w:rsidRPr="002C3258" w:rsidRDefault="002C3258" w:rsidP="002C325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63" w:type="dxa"/>
          </w:tcPr>
          <w:p w:rsidR="002C3258" w:rsidRPr="002C3258" w:rsidRDefault="002C3258" w:rsidP="002C325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63" w:type="dxa"/>
          </w:tcPr>
          <w:p w:rsidR="002C3258" w:rsidRPr="002C3258" w:rsidRDefault="002C3258" w:rsidP="002C325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63" w:type="dxa"/>
          </w:tcPr>
          <w:p w:rsidR="002C3258" w:rsidRPr="002C3258" w:rsidRDefault="002C3258" w:rsidP="002C325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63" w:type="dxa"/>
          </w:tcPr>
          <w:p w:rsidR="002C3258" w:rsidRPr="002C3258" w:rsidRDefault="002C3258" w:rsidP="002C325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63" w:type="dxa"/>
          </w:tcPr>
          <w:p w:rsidR="002C3258" w:rsidRPr="002C3258" w:rsidRDefault="002C3258" w:rsidP="002C325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63" w:type="dxa"/>
          </w:tcPr>
          <w:p w:rsidR="002C3258" w:rsidRPr="002C3258" w:rsidRDefault="002C3258" w:rsidP="002C325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63" w:type="dxa"/>
          </w:tcPr>
          <w:p w:rsidR="002C3258" w:rsidRPr="002C3258" w:rsidRDefault="002C3258" w:rsidP="002C325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63" w:type="dxa"/>
          </w:tcPr>
          <w:p w:rsidR="002C3258" w:rsidRPr="002C3258" w:rsidRDefault="002C3258" w:rsidP="002C325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2C3258" w:rsidRPr="002C3258" w:rsidRDefault="002C3258" w:rsidP="002C3258">
      <w:pPr>
        <w:spacing w:after="0" w:line="240" w:lineRule="auto"/>
        <w:rPr>
          <w:rFonts w:ascii="Times New Roman" w:hAnsi="Times New Roman" w:cs="Times New Roman"/>
          <w:szCs w:val="24"/>
        </w:rPr>
      </w:pPr>
    </w:p>
    <w:sectPr w:rsidR="002C3258" w:rsidRPr="002C3258" w:rsidSect="00716BBB">
      <w:headerReference w:type="first" r:id="rId7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36B" w:rsidRDefault="00B8736B" w:rsidP="00F86B32">
      <w:pPr>
        <w:spacing w:after="0" w:line="240" w:lineRule="auto"/>
      </w:pPr>
      <w:r>
        <w:separator/>
      </w:r>
    </w:p>
  </w:endnote>
  <w:endnote w:type="continuationSeparator" w:id="0">
    <w:p w:rsidR="00B8736B" w:rsidRDefault="00B8736B" w:rsidP="00F8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36B" w:rsidRDefault="00B8736B" w:rsidP="00F86B32">
      <w:pPr>
        <w:spacing w:after="0" w:line="240" w:lineRule="auto"/>
      </w:pPr>
      <w:r>
        <w:separator/>
      </w:r>
    </w:p>
  </w:footnote>
  <w:footnote w:type="continuationSeparator" w:id="0">
    <w:p w:rsidR="00B8736B" w:rsidRDefault="00B8736B" w:rsidP="00F86B32">
      <w:pPr>
        <w:spacing w:after="0" w:line="240" w:lineRule="auto"/>
      </w:pPr>
      <w:r>
        <w:continuationSeparator/>
      </w:r>
    </w:p>
  </w:footnote>
  <w:footnote w:id="1">
    <w:p w:rsidR="00F86B32" w:rsidRPr="002C3258" w:rsidRDefault="00F86B32">
      <w:pPr>
        <w:pStyle w:val="Puslapioinaostekstas"/>
        <w:rPr>
          <w:rFonts w:ascii="Times New Roman" w:hAnsi="Times New Roman" w:cs="Times New Roman"/>
        </w:rPr>
      </w:pPr>
      <w:r w:rsidRPr="002C3258">
        <w:rPr>
          <w:rStyle w:val="Puslapioinaosnuoroda"/>
          <w:rFonts w:ascii="Times New Roman" w:hAnsi="Times New Roman" w:cs="Times New Roman"/>
        </w:rPr>
        <w:footnoteRef/>
      </w:r>
      <w:r w:rsidRPr="002C3258">
        <w:rPr>
          <w:rFonts w:ascii="Times New Roman" w:hAnsi="Times New Roman" w:cs="Times New Roman"/>
        </w:rPr>
        <w:t xml:space="preserve"> </w:t>
      </w:r>
      <w:r w:rsidRPr="002C3258">
        <w:rPr>
          <w:rFonts w:ascii="Times New Roman" w:eastAsia="Times New Roman" w:hAnsi="Times New Roman" w:cs="Times New Roman"/>
          <w:color w:val="000000"/>
          <w:lang w:eastAsia="lt-LT"/>
        </w:rPr>
        <w:t xml:space="preserve">Prieiga internete: </w:t>
      </w:r>
      <w:hyperlink r:id="rId1" w:history="1">
        <w:r w:rsidRPr="002C3258">
          <w:rPr>
            <w:rStyle w:val="Hipersaitas"/>
            <w:rFonts w:ascii="Times New Roman" w:eastAsia="Times New Roman" w:hAnsi="Times New Roman" w:cs="Times New Roman"/>
            <w:lang w:eastAsia="lt-LT"/>
          </w:rPr>
          <w:t>https://vtek.lt/images/Duomenys/VTEK_Rekomendacines_gaires_del_dovanu_ir_paslaugu_priemimo_apribojimu_20200 312_fin.pdf</w:t>
        </w:r>
      </w:hyperlink>
      <w:r w:rsidRPr="002C3258">
        <w:rPr>
          <w:rFonts w:ascii="Times New Roman" w:eastAsia="Times New Roman" w:hAnsi="Times New Roman" w:cs="Times New Roman"/>
          <w:color w:val="0066CC"/>
          <w:lang w:eastAsia="lt-LT"/>
        </w:rPr>
        <w:t>.</w:t>
      </w:r>
    </w:p>
  </w:footnote>
  <w:footnote w:id="2">
    <w:p w:rsidR="003875F6" w:rsidRPr="002C3258" w:rsidRDefault="003875F6" w:rsidP="003875F6">
      <w:pPr>
        <w:pStyle w:val="Puslapioinaostekstas"/>
        <w:jc w:val="both"/>
        <w:rPr>
          <w:rFonts w:ascii="Times New Roman" w:hAnsi="Times New Roman" w:cs="Times New Roman"/>
        </w:rPr>
      </w:pPr>
      <w:r>
        <w:rPr>
          <w:rStyle w:val="Puslapioinaosnuoroda"/>
        </w:rPr>
        <w:footnoteRef/>
      </w:r>
      <w:r>
        <w:t xml:space="preserve"> </w:t>
      </w:r>
      <w:r w:rsidRPr="002C3258">
        <w:rPr>
          <w:rFonts w:ascii="Times New Roman" w:hAnsi="Times New Roman" w:cs="Times New Roman"/>
          <w:color w:val="000000"/>
        </w:rPr>
        <w:t>Neteisėtą atlygį siūlytina registruoti atskirame registre pagal Lietuvos Respublikos specialiųjų tyrimų tarnybos rekomenduojamą Veiksmų Įstaigoje gavus neteisėtą atlygį tvarkos aprašą.</w:t>
      </w:r>
    </w:p>
  </w:footnote>
  <w:footnote w:id="3">
    <w:p w:rsidR="002C3258" w:rsidRDefault="002C3258">
      <w:pPr>
        <w:pStyle w:val="Puslapioinaostekstas"/>
      </w:pPr>
      <w:r w:rsidRPr="002C3258">
        <w:rPr>
          <w:rStyle w:val="Puslapioinaosnuoroda"/>
          <w:rFonts w:ascii="Times New Roman" w:hAnsi="Times New Roman" w:cs="Times New Roman"/>
        </w:rPr>
        <w:footnoteRef/>
      </w:r>
      <w:r w:rsidRPr="002C3258">
        <w:rPr>
          <w:rFonts w:ascii="Times New Roman" w:hAnsi="Times New Roman" w:cs="Times New Roman"/>
        </w:rPr>
        <w:t xml:space="preserve"> </w:t>
      </w:r>
      <w:r w:rsidRPr="002C3258">
        <w:rPr>
          <w:rFonts w:ascii="Times New Roman" w:hAnsi="Times New Roman" w:cs="Times New Roman"/>
        </w:rPr>
        <w:t>Nurodomi įstaigos darbuotojai arba gali būti šiuo tikslu sudaroma speciali komisija</w:t>
      </w:r>
      <w:r w:rsidRPr="002C3258">
        <w:t>.</w:t>
      </w:r>
    </w:p>
  </w:footnote>
  <w:footnote w:id="4">
    <w:p w:rsidR="002C3258" w:rsidRDefault="002C3258" w:rsidP="002C3258">
      <w:pPr>
        <w:pStyle w:val="Puslapioinaostekstas"/>
        <w:jc w:val="both"/>
      </w:pPr>
      <w:r>
        <w:rPr>
          <w:rStyle w:val="Puslapioinaosnuoroda"/>
        </w:rPr>
        <w:footnoteRef/>
      </w:r>
      <w:r>
        <w:t xml:space="preserve"> </w:t>
      </w:r>
      <w:r w:rsidRPr="002C3258">
        <w:rPr>
          <w:rFonts w:ascii="Times New Roman" w:hAnsi="Times New Roman" w:cs="Times New Roman"/>
        </w:rPr>
        <w:t xml:space="preserve">Įstaiga gali pasirinkti skelbiamo dovanų sąrašo atnaujinimo dažnumą, pvz. iš karto po registravimo, kas mėnesį, kas ketvirtį, kas pusmetį ir </w:t>
      </w:r>
      <w:proofErr w:type="spellStart"/>
      <w:r w:rsidRPr="002C3258">
        <w:rPr>
          <w:rFonts w:ascii="Times New Roman" w:hAnsi="Times New Roman" w:cs="Times New Roman"/>
        </w:rPr>
        <w:t>pan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BBB" w:rsidRDefault="00716BBB" w:rsidP="00716BBB">
    <w:pPr>
      <w:spacing w:after="0" w:line="240" w:lineRule="auto"/>
      <w:ind w:firstLine="5954"/>
      <w:rPr>
        <w:rFonts w:ascii="Times New Roman" w:eastAsia="Times New Roman" w:hAnsi="Times New Roman"/>
        <w:sz w:val="24"/>
      </w:rPr>
    </w:pPr>
    <w:r>
      <w:rPr>
        <w:rFonts w:ascii="Times New Roman" w:eastAsia="Times New Roman" w:hAnsi="Times New Roman"/>
        <w:sz w:val="24"/>
      </w:rPr>
      <w:t>PATVIRTINTA</w:t>
    </w:r>
  </w:p>
  <w:p w:rsidR="00716BBB" w:rsidRDefault="00716BBB" w:rsidP="00716BBB">
    <w:pPr>
      <w:spacing w:after="0" w:line="240" w:lineRule="auto"/>
      <w:ind w:firstLine="5954"/>
      <w:rPr>
        <w:rFonts w:ascii="Times New Roman" w:eastAsia="Times New Roman" w:hAnsi="Times New Roman"/>
        <w:sz w:val="24"/>
      </w:rPr>
    </w:pPr>
    <w:r>
      <w:rPr>
        <w:rFonts w:ascii="Times New Roman" w:eastAsia="Times New Roman" w:hAnsi="Times New Roman"/>
        <w:sz w:val="24"/>
      </w:rPr>
      <w:t xml:space="preserve">Kretingos lopšelio-darželio „Žilvitis“ </w:t>
    </w:r>
  </w:p>
  <w:p w:rsidR="00716BBB" w:rsidRDefault="00716BBB" w:rsidP="00716BBB">
    <w:pPr>
      <w:spacing w:after="0" w:line="240" w:lineRule="auto"/>
      <w:ind w:firstLine="5954"/>
      <w:rPr>
        <w:rFonts w:ascii="Times New Roman" w:eastAsia="Times New Roman" w:hAnsi="Times New Roman"/>
        <w:sz w:val="24"/>
      </w:rPr>
    </w:pPr>
    <w:r>
      <w:rPr>
        <w:rFonts w:ascii="Times New Roman" w:eastAsia="Times New Roman" w:hAnsi="Times New Roman"/>
        <w:sz w:val="24"/>
      </w:rPr>
      <w:t xml:space="preserve">direktoriaus 2021 m. sausio 28 d. </w:t>
    </w:r>
  </w:p>
  <w:p w:rsidR="00716BBB" w:rsidRDefault="00716BBB" w:rsidP="00716BBB">
    <w:pPr>
      <w:spacing w:after="0" w:line="240" w:lineRule="auto"/>
      <w:ind w:firstLine="5954"/>
      <w:rPr>
        <w:rFonts w:ascii="Times New Roman" w:eastAsia="Times New Roman" w:hAnsi="Times New Roman"/>
        <w:sz w:val="24"/>
      </w:rPr>
    </w:pPr>
    <w:r>
      <w:rPr>
        <w:rFonts w:ascii="Times New Roman" w:eastAsia="Times New Roman" w:hAnsi="Times New Roman"/>
        <w:sz w:val="24"/>
      </w:rPr>
      <w:t>įsakymu Nr.V1-10</w:t>
    </w:r>
  </w:p>
  <w:p w:rsidR="00716BBB" w:rsidRPr="00716BBB" w:rsidRDefault="00716BBB" w:rsidP="00716BBB">
    <w:pPr>
      <w:pStyle w:val="Antrats"/>
      <w:rPr>
        <w:rFonts w:ascii="Times New Roman" w:hAnsi="Times New Roman" w:cs="Times New Roman"/>
        <w:sz w:val="24"/>
        <w:szCs w:val="24"/>
      </w:rPr>
    </w:pPr>
  </w:p>
  <w:p w:rsidR="00716BBB" w:rsidRDefault="00716BBB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B32"/>
    <w:rsid w:val="000C6C6F"/>
    <w:rsid w:val="000E59A4"/>
    <w:rsid w:val="002C3258"/>
    <w:rsid w:val="003875F6"/>
    <w:rsid w:val="003D5DF5"/>
    <w:rsid w:val="005977B6"/>
    <w:rsid w:val="00642DF5"/>
    <w:rsid w:val="00716BBB"/>
    <w:rsid w:val="0095485C"/>
    <w:rsid w:val="00B8736B"/>
    <w:rsid w:val="00F8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0006D"/>
  <w15:chartTrackingRefBased/>
  <w15:docId w15:val="{3963D9A9-4ED8-4DD4-AEA5-903C06BB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F86B3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ontstyle01">
    <w:name w:val="fontstyle01"/>
    <w:basedOn w:val="Numatytasispastraiposriftas"/>
    <w:rsid w:val="00F86B3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Numatytasispastraiposriftas"/>
    <w:rsid w:val="00F86B3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Numatytasispastraiposriftas"/>
    <w:rsid w:val="00F86B32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F86B32"/>
    <w:rPr>
      <w:color w:val="0563C1" w:themeColor="hyperlink"/>
      <w:u w:val="single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F86B32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F86B32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F86B32"/>
    <w:rPr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3875F6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3875F6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3875F6"/>
    <w:rPr>
      <w:vertAlign w:val="superscript"/>
    </w:rPr>
  </w:style>
  <w:style w:type="table" w:styleId="Lentelstinklelis">
    <w:name w:val="Table Grid"/>
    <w:basedOn w:val="prastojilentel"/>
    <w:uiPriority w:val="39"/>
    <w:rsid w:val="002C3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716B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16BBB"/>
  </w:style>
  <w:style w:type="paragraph" w:styleId="Porat">
    <w:name w:val="footer"/>
    <w:basedOn w:val="prastasis"/>
    <w:link w:val="PoratDiagrama"/>
    <w:uiPriority w:val="99"/>
    <w:unhideWhenUsed/>
    <w:rsid w:val="00716B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16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5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vtek.lt/images/Duomenys/VTEK_Rekomendacines_gaires_del_dovanu_ir_paslaugu_priemimo_apribojimu_20200%20312_fin.pdf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B9360-AE60-4FBB-8DBF-1F7F277D8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5648</Words>
  <Characters>3220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Eglute</dc:creator>
  <cp:keywords/>
  <dc:description/>
  <cp:lastModifiedBy>HP</cp:lastModifiedBy>
  <cp:revision>4</cp:revision>
  <dcterms:created xsi:type="dcterms:W3CDTF">2021-01-28T13:58:00Z</dcterms:created>
  <dcterms:modified xsi:type="dcterms:W3CDTF">2021-02-01T09:18:00Z</dcterms:modified>
</cp:coreProperties>
</file>